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2" w:rsidRDefault="00813232" w:rsidP="0081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32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813232" w:rsidRPr="00813232" w:rsidRDefault="00813232" w:rsidP="0081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32">
        <w:rPr>
          <w:rFonts w:ascii="Times New Roman" w:hAnsi="Times New Roman" w:cs="Times New Roman"/>
          <w:b/>
          <w:sz w:val="28"/>
          <w:szCs w:val="28"/>
        </w:rPr>
        <w:t>объединения «Картинг»</w:t>
      </w:r>
      <w:r>
        <w:rPr>
          <w:rFonts w:ascii="Times New Roman" w:hAnsi="Times New Roman" w:cs="Times New Roman"/>
          <w:b/>
          <w:sz w:val="28"/>
          <w:szCs w:val="28"/>
        </w:rPr>
        <w:t xml:space="preserve"> 06.02</w:t>
      </w:r>
      <w:r w:rsidRPr="00813232">
        <w:rPr>
          <w:rFonts w:ascii="Times New Roman" w:hAnsi="Times New Roman" w:cs="Times New Roman"/>
          <w:b/>
          <w:sz w:val="28"/>
          <w:szCs w:val="28"/>
        </w:rPr>
        <w:t>.2022</w:t>
      </w:r>
    </w:p>
    <w:p w:rsidR="00813232" w:rsidRDefault="00813232" w:rsidP="00080B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 Ш</w:t>
      </w:r>
      <w:r w:rsidRPr="00813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асси современных </w:t>
      </w:r>
      <w:proofErr w:type="spellStart"/>
      <w:r w:rsidRPr="00813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Т</w:t>
      </w:r>
      <w:r w:rsidRPr="00813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ехнические требования</w:t>
      </w:r>
    </w:p>
    <w:p w:rsidR="00813232" w:rsidRPr="00813232" w:rsidRDefault="00813232" w:rsidP="00080B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13232" w:rsidRPr="00813232" w:rsidRDefault="00813232" w:rsidP="008132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Изучить теоретические материалы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Техническими требованиями установлены основ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ные размеры и конструктивные особенности шасси </w:t>
      </w:r>
      <w:proofErr w:type="spell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картов.</w:t>
      </w:r>
      <w:proofErr w:type="spellEnd"/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размеры. Минимальная колесная база 1010 мм, максимальная — 1270 мм. Колея не меньше 2/3 базы. Общая длина не более 1820 мм.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Отбойники.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 боковые защитные отбойники, уста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навливаемые перед задними колесами. Они не могут выступать за линии, проведенные по внешней стороне колес (передние колеса установлены прямо).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 должен быть обору</w:t>
      </w:r>
      <w:r w:rsid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дован защитными отбойниками спе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реди и сзади. Ни одна часть карта не должна выступать за эти отбойники. Отбойники должны быть сделаны из трубы, прочность которой не меньше прочности труб рамы. Они крепятся к концам лонжеронов рамы и с помощью двух перемычек соединяются с поперечной балкой </w:t>
      </w:r>
      <w:proofErr w:type="spell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рамы</w:t>
      </w:r>
      <w:proofErr w:type="gram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ередний</w:t>
      </w:r>
      <w:proofErr w:type="spell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отбойник должен быть не выше 20 см от земли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Полик</w:t>
      </w:r>
      <w:proofErr w:type="spellEnd"/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Полик</w:t>
      </w:r>
      <w:proofErr w:type="spell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делают из твердого материала, по краям ограничивают трубой или бортиком, чтобы не соскальзывали ноги. Диаметр отверстий перфорированного </w:t>
      </w:r>
      <w:proofErr w:type="spell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полика</w:t>
      </w:r>
      <w:proofErr w:type="spell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должен превышать 1 см.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Амортизация.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Любые формы амортизации карта (упругой или шарнирной) не допускаются.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Колеса и шины.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Колеса устанавливают на подшипниках качения. Внешний диаметр шины не должен превышать 32 см. Максимальная ширина собранного и накачанного заднего ко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леса (обод с шиной) равна 21,2 см. Это значение проверяют с помощью шаблона 21,5 см (с учетом максимального допуска). Диаметр обода колеса от 4 до 5 дюймов. Установленные колеса должны быть законтрены (корончатые гайки со шплинтом, </w:t>
      </w:r>
      <w:proofErr w:type="spell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контрящиеся</w:t>
      </w:r>
      <w:proofErr w:type="spell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гайки и т. п.). Не разрешается разогревать шины перед стартом и использовать бескамерные шины.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Тормоза.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Тормоза должны обеспечивать эффективность тор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можения и действовать как минимум на задние колеса. На картах класса «</w:t>
      </w:r>
      <w:proofErr w:type="spell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Интерконтиненталь</w:t>
      </w:r>
      <w:proofErr w:type="spellEnd"/>
      <w:proofErr w:type="gram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</w:t>
      </w:r>
      <w:proofErr w:type="gram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тормоза должны действовать на четыре колеса.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Рулевое управление.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Рулевое колесо должно иметь форму замкнутой окружности. Использование в рулевом управлении гибких связей (троса или цепи) не допускается. Соединения всех элементов рулевого управления должны обеспечивать полную безопасность (корончатые гайки со шплинтом, </w:t>
      </w:r>
      <w:proofErr w:type="spell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самоконтрящиеся</w:t>
      </w:r>
      <w:proofErr w:type="spell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гайки или пальцы со шплинтом).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Трансмиссия.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Привод осуществляется только на задние колеса. Способ передачи крутящего момента от двигателя произ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вольный, но не допускается применение дифференциалов. При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менение какой-либо смазочной системы приводной цепи также не допускается.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Сиденье.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Сиденье должно быть сделано таким образом, чтобы водитель не мог перемещаться вперед и вбок при торможении и на виражах.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Щиток цепи.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Установка щитка обязательна, он должен на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дежно закрывать звездочки цепной передачи на двигателе и задней оси, предупреждая попадание пальцев води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теля в цепь.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Педали. 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Педали не должны выступать за передний отбойник в любом их положении. Педаль акселератора (газа) должна иметь отжимную пружину, обеспечивающую возврат педали в исходное положение.</w:t>
      </w:r>
    </w:p>
    <w:p w:rsidR="00813232" w:rsidRDefault="00080BAE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Выпускная система. </w:t>
      </w:r>
      <w:r w:rsidRPr="008132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Выходное отверстие выпускной системы должно находиться сзади водителя на высоте не более 45 см, труба глушителя должна быть направлена вниз, поперек </w:t>
      </w:r>
      <w:proofErr w:type="spellStart"/>
      <w:r w:rsidRPr="008132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направ</w:t>
      </w:r>
      <w:proofErr w:type="spellEnd"/>
      <w:r w:rsidRPr="008132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Приведенные выше требования установлены Правилами 1981 г. Они незначительно отличаются от Правил, применяв</w:t>
      </w:r>
      <w:r w:rsidRPr="008132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oftHyphen/>
        <w:t>шихся в течение последних лет.</w:t>
      </w:r>
    </w:p>
    <w:p w:rsidR="00813232" w:rsidRPr="00813232" w:rsidRDefault="00813232" w:rsidP="0081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13232" w:rsidRDefault="00813232" w:rsidP="008132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Pr="00813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азы газораспределения</w:t>
      </w:r>
    </w:p>
    <w:p w:rsidR="00813232" w:rsidRDefault="00080BAE" w:rsidP="008132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Фазы газораспределения выражаются углами поворота ко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ленчатого вала, при которых открываются и закрываются со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ответствующие окна цилиндра. В двухтактном двигателе рас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смотрим три фазы: открытия впускного окна, открытия выпускно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окна и открытия перепускных окон.</w:t>
      </w:r>
    </w:p>
    <w:p w:rsidR="00813232" w:rsidRDefault="00080BAE" w:rsidP="008132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Фазой открытия окна, например, выпускного, назовем угол поворота коленчатого вала, измеряемый с момента, когда верх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ний край поршня откроет выпускное окно, до момента, когда поршень, двигаясь обратно, закроет окно. Аналогично можно оп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ределить фазы открытия остальных окон. В обычном поршневом двигателе все окна открываются и за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крываются поршнем, поэтому диаграмма фаз газораспределения симметрична (или почти симметрична) относительно вертикаль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ной оси. В </w:t>
      </w:r>
      <w:proofErr w:type="spell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картинговых</w:t>
      </w:r>
      <w:proofErr w:type="spell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двигателях, в которых на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полнение кривошипной камеры горючей смесью осуществляется с помощью вращающегося золотника, фаза впуска может не зави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сеть от движения поршня, поэтому диаграмма фаз газораспреде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ления имеет обычно несимметричный вид </w:t>
      </w:r>
    </w:p>
    <w:p w:rsidR="00813232" w:rsidRDefault="00080BAE" w:rsidP="008132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Фазы газораспределения являются сравнимыми величинами для двигателей с разным ходом поршня, т. е. они служат уни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версальными характеристиками. При сравнении двигателей, име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ющих одинаковый ход поршня, фазы газораспределения можно заменить расстояниями от окон, например, до верхней плоскос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 цилиндра.</w:t>
      </w:r>
    </w:p>
    <w:p w:rsidR="00813232" w:rsidRDefault="00080BAE" w:rsidP="008132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фаз газораспределения важным параметром является так называемое время-сечение. При постепенно открываемом поршнем окне от формы канала зависит, как увеличивается отк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рытая поверхность окна в зависимости от угла поворота колен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чатого вала (или времени). Чем шире окно, тем большая поверх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ность будет открываться при смещении поршня вниз. За одно и то же время через окно будет проходить большее количество горю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чей смеси. Целесообразно, чтобы при открытии окна поршнем</w:t>
      </w:r>
      <w:proofErr w:type="gram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площадь была бы сразу как можно большей. Во 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многих дви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гателях для этого окно делается расширенным к</w:t>
      </w:r>
      <w:r w:rsid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верху. Благода</w:t>
      </w:r>
      <w:r w:rsid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ря этому 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достигается</w:t>
      </w:r>
      <w:r w:rsid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 быстрого открытия окна без увели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чения его поверхности.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Диаграмма роста открытой поверхности окон разной формы в зависимости от времени </w:t>
      </w:r>
      <w:proofErr w:type="gram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постоянной ЧВ двигателя пока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зана на рисунке. Общая площадь окон в обоих случаях одинако</w:t>
      </w:r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вая. Площадь под кривыми диаграммы характеризует значение </w:t>
      </w:r>
      <w:proofErr w:type="gramStart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время-сечения</w:t>
      </w:r>
      <w:proofErr w:type="gramEnd"/>
      <w:r w:rsidRPr="00813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окна неправильной формы время-сечение больше.</w:t>
      </w:r>
    </w:p>
    <w:p w:rsidR="00813232" w:rsidRPr="00813232" w:rsidRDefault="00813232" w:rsidP="0081323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32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Изучить конструкцию карта</w:t>
      </w:r>
    </w:p>
    <w:p w:rsidR="009B42B6" w:rsidRDefault="00813232" w:rsidP="0081323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6025" cy="5476875"/>
            <wp:effectExtent l="0" t="0" r="9525" b="9525"/>
            <wp:docPr id="3" name="Рисунок 3" descr="https://i1.wp.com/amposter.com/images/wysiwyg/comp/2017-08/4ea1901bff5dffbba983e19a443120319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amposter.com/images/wysiwyg/comp/2017-08/4ea1901bff5dffbba983e19a443120319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8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F8" w:rsidRPr="00496416" w:rsidRDefault="006E79F8" w:rsidP="006E79F8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7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6E79F8" w:rsidRPr="00D200F9" w:rsidRDefault="006E79F8" w:rsidP="006E79F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E79F8" w:rsidRPr="00813232" w:rsidRDefault="006E79F8" w:rsidP="00813232">
      <w:pPr>
        <w:jc w:val="both"/>
        <w:rPr>
          <w:sz w:val="28"/>
          <w:szCs w:val="28"/>
        </w:rPr>
      </w:pPr>
      <w:bookmarkStart w:id="0" w:name="_GoBack"/>
      <w:bookmarkEnd w:id="0"/>
    </w:p>
    <w:sectPr w:rsidR="006E79F8" w:rsidRPr="00813232" w:rsidSect="0081323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35F"/>
    <w:multiLevelType w:val="hybridMultilevel"/>
    <w:tmpl w:val="0C8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09"/>
    <w:rsid w:val="00080BAE"/>
    <w:rsid w:val="00292D09"/>
    <w:rsid w:val="006E79F8"/>
    <w:rsid w:val="00813232"/>
    <w:rsid w:val="009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232"/>
    <w:pPr>
      <w:ind w:left="720"/>
      <w:contextualSpacing/>
    </w:pPr>
  </w:style>
  <w:style w:type="paragraph" w:styleId="a6">
    <w:name w:val="No Spacing"/>
    <w:basedOn w:val="a"/>
    <w:uiPriority w:val="1"/>
    <w:qFormat/>
    <w:rsid w:val="006E79F8"/>
    <w:pPr>
      <w:spacing w:after="0" w:line="240" w:lineRule="auto"/>
    </w:pPr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232"/>
    <w:pPr>
      <w:ind w:left="720"/>
      <w:contextualSpacing/>
    </w:pPr>
  </w:style>
  <w:style w:type="paragraph" w:styleId="a6">
    <w:name w:val="No Spacing"/>
    <w:basedOn w:val="a"/>
    <w:uiPriority w:val="1"/>
    <w:qFormat/>
    <w:rsid w:val="006E79F8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uttrosla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2022-02-09T22:58:00Z</dcterms:created>
  <dcterms:modified xsi:type="dcterms:W3CDTF">2022-02-09T23:19:00Z</dcterms:modified>
</cp:coreProperties>
</file>